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85B" w:rsidRPr="00075342" w:rsidRDefault="0044285B" w:rsidP="0044285B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075342">
        <w:rPr>
          <w:rFonts w:ascii="Times New Roman" w:hAnsi="Times New Roman" w:cs="Times New Roman"/>
          <w:sz w:val="30"/>
          <w:szCs w:val="30"/>
          <w:lang w:eastAsia="ru-RU"/>
        </w:rPr>
        <w:t>МАТЕРИАЛЫ</w:t>
      </w:r>
    </w:p>
    <w:p w:rsidR="0044285B" w:rsidRPr="00075342" w:rsidRDefault="0044285B" w:rsidP="0044285B">
      <w:pPr>
        <w:widowControl w:val="0"/>
        <w:suppressAutoHyphens w:val="0"/>
        <w:overflowPunct w:val="0"/>
        <w:autoSpaceDE w:val="0"/>
        <w:autoSpaceDN w:val="0"/>
        <w:adjustRightInd w:val="0"/>
        <w:spacing w:line="280" w:lineRule="exact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075342">
        <w:rPr>
          <w:rFonts w:ascii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:rsidR="0044285B" w:rsidRDefault="0044285B" w:rsidP="0044285B">
      <w:pPr>
        <w:widowControl w:val="0"/>
        <w:suppressAutoHyphens w:val="0"/>
        <w:overflowPunct w:val="0"/>
        <w:autoSpaceDE w:val="0"/>
        <w:autoSpaceDN w:val="0"/>
        <w:adjustRightInd w:val="0"/>
        <w:spacing w:before="120" w:line="280" w:lineRule="exact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075342">
        <w:rPr>
          <w:rFonts w:ascii="Times New Roman" w:hAnsi="Times New Roman" w:cs="Times New Roman"/>
          <w:sz w:val="30"/>
          <w:szCs w:val="30"/>
          <w:lang w:eastAsia="ru-RU"/>
        </w:rPr>
        <w:t>(</w:t>
      </w:r>
      <w:r w:rsidR="003C1AC6">
        <w:rPr>
          <w:rFonts w:ascii="Times New Roman" w:hAnsi="Times New Roman" w:cs="Times New Roman"/>
          <w:sz w:val="30"/>
          <w:szCs w:val="30"/>
          <w:lang w:eastAsia="ru-RU"/>
        </w:rPr>
        <w:t>январь</w:t>
      </w:r>
      <w:r w:rsidRPr="00075342">
        <w:rPr>
          <w:rFonts w:ascii="Times New Roman" w:hAnsi="Times New Roman" w:cs="Times New Roman"/>
          <w:sz w:val="30"/>
          <w:szCs w:val="30"/>
          <w:lang w:eastAsia="ru-RU"/>
        </w:rPr>
        <w:t xml:space="preserve"> 202</w:t>
      </w:r>
      <w:r w:rsidR="003C1AC6">
        <w:rPr>
          <w:rFonts w:ascii="Times New Roman" w:hAnsi="Times New Roman" w:cs="Times New Roman"/>
          <w:sz w:val="30"/>
          <w:szCs w:val="30"/>
          <w:lang w:eastAsia="ru-RU"/>
        </w:rPr>
        <w:t>6</w:t>
      </w:r>
      <w:r w:rsidRPr="00075342">
        <w:rPr>
          <w:rFonts w:ascii="Times New Roman" w:hAnsi="Times New Roman" w:cs="Times New Roman"/>
          <w:sz w:val="30"/>
          <w:szCs w:val="30"/>
          <w:lang w:eastAsia="ru-RU"/>
        </w:rPr>
        <w:t xml:space="preserve"> г.)</w:t>
      </w:r>
    </w:p>
    <w:p w:rsidR="00E30CDD" w:rsidRPr="00E14070" w:rsidRDefault="00E30CDD" w:rsidP="00E30CDD">
      <w:pPr>
        <w:widowControl w:val="0"/>
        <w:suppressAutoHyphens w:val="0"/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DA0A25" w:rsidRPr="00E14070" w:rsidRDefault="00DA0A25" w:rsidP="00DA0A2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14070">
        <w:rPr>
          <w:rFonts w:ascii="Times New Roman" w:hAnsi="Times New Roman" w:cs="Times New Roman"/>
          <w:b/>
          <w:sz w:val="30"/>
          <w:szCs w:val="30"/>
        </w:rPr>
        <w:t>ПРОФИЛАКТИКА ДОМАШНЕГО НАСИЛИЯ</w:t>
      </w:r>
    </w:p>
    <w:p w:rsidR="0044285B" w:rsidRPr="00E14070" w:rsidRDefault="0044285B" w:rsidP="0044285B">
      <w:pPr>
        <w:tabs>
          <w:tab w:val="left" w:pos="3606"/>
        </w:tabs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14070">
        <w:rPr>
          <w:rFonts w:ascii="Times New Roman" w:hAnsi="Times New Roman" w:cs="Times New Roman"/>
          <w:sz w:val="32"/>
          <w:szCs w:val="32"/>
          <w:lang w:eastAsia="ru-RU"/>
        </w:rPr>
        <w:tab/>
      </w:r>
    </w:p>
    <w:p w:rsidR="0084156D" w:rsidRPr="00E14070" w:rsidRDefault="0044285B" w:rsidP="00E30CDD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14070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Материал подготовлен управлением </w:t>
      </w:r>
      <w:r w:rsidR="0084156D" w:rsidRPr="00E14070">
        <w:rPr>
          <w:rFonts w:ascii="Times New Roman" w:hAnsi="Times New Roman" w:cs="Times New Roman"/>
          <w:i/>
          <w:sz w:val="28"/>
          <w:szCs w:val="28"/>
          <w:lang w:eastAsia="ru-RU"/>
        </w:rPr>
        <w:t>охраны правопорядка</w:t>
      </w:r>
    </w:p>
    <w:p w:rsidR="0044285B" w:rsidRPr="00E14070" w:rsidRDefault="0084156D" w:rsidP="00E30CDD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14070">
        <w:rPr>
          <w:rFonts w:ascii="Times New Roman" w:hAnsi="Times New Roman" w:cs="Times New Roman"/>
          <w:i/>
          <w:sz w:val="28"/>
          <w:szCs w:val="28"/>
          <w:lang w:eastAsia="ru-RU"/>
        </w:rPr>
        <w:t>и профилактики милиции общественной безопасности</w:t>
      </w:r>
    </w:p>
    <w:p w:rsidR="0044285B" w:rsidRPr="00E14070" w:rsidRDefault="0044285B" w:rsidP="0044285B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14070">
        <w:rPr>
          <w:rFonts w:ascii="Times New Roman" w:hAnsi="Times New Roman" w:cs="Times New Roman"/>
          <w:i/>
          <w:sz w:val="28"/>
          <w:szCs w:val="28"/>
          <w:lang w:eastAsia="ru-RU"/>
        </w:rPr>
        <w:t>УВД Гродненского облисполкома</w:t>
      </w:r>
    </w:p>
    <w:p w:rsidR="00E30CDD" w:rsidRPr="00E14070" w:rsidRDefault="00E30CDD" w:rsidP="0044285B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0A25" w:rsidRPr="00E14070" w:rsidRDefault="00DA0A25" w:rsidP="003C1AC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14070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Такое явление, как «домашнее насилия» не теряло своей актуальности во все времена. Определение термина «домашнее насилие» содержится в </w:t>
      </w:r>
      <w:r w:rsidRPr="00E14070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Законе Республики Беларусь «Об основах деятельности по профилактике правонарушений»</w:t>
      </w:r>
      <w:r w:rsidRPr="00E14070">
        <w:rPr>
          <w:rFonts w:ascii="Times New Roman" w:eastAsia="Times New Roman" w:hAnsi="Times New Roman" w:cs="Times New Roman"/>
          <w:sz w:val="30"/>
          <w:szCs w:val="30"/>
          <w:lang w:eastAsia="ru-RU"/>
        </w:rPr>
        <w:t>. Его не нужно читать по слогам, чтобы понять сущность: это страшно! Страшно, когда родной человек становится опаснее любого чужого.</w:t>
      </w:r>
    </w:p>
    <w:p w:rsidR="00DA0A25" w:rsidRPr="00E14070" w:rsidRDefault="00DA0A25" w:rsidP="003C1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140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Домашнее насилие – это умышленные действия одного члена семьи, которые нарушают права другого. Это действия физического, психологического и сексуального характера. </w:t>
      </w:r>
    </w:p>
    <w:p w:rsidR="00DA0A25" w:rsidRDefault="00DA0A25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140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Нередко «бытовые» конфликты происходят и в семьях, считающихся добропорядочными, где порой совершается «тихое» насилие. Граждане, в отношении которых оно осуществляется, не решаются обратиться за помощью, боясь испортить репутацию семьи или лишиться средств к существованию. 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Принимаемые ОВД и иными субъектами профилактики организационные и практические меры в целом позволяют обеспечивать должный уровень профилактического влияния на состояние оперативной обстановки. 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В каждом регионе с участием заинтересованных субъектов профилактики проводятся комплексные профилактические отработки административных участков, где отмечаются негативные тенденции в криминогенной обстановке.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итогам 2025 года снижено количество зарегистрированных на территории области преступлений в сфере домашнего насилия (</w:t>
      </w:r>
      <w:r w:rsidR="00D327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</w:t>
      </w: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8,6%; с 35 до 32, без учета превентивных статей). На 15,3% меньше в милицию поступило сообщений о фактах домашнего насилия (с 8</w:t>
      </w:r>
      <w:r w:rsidR="00507E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613 до 7</w:t>
      </w:r>
      <w:r w:rsidR="00507E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299).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МВД разработан подробный алгоритм действий сотрудников милиции при реагировании на факты семейно-бытовых конфликтов. Определен порядок контроля за полнотой проведенных мероприятий по ним (изложен в Инструкции об организации работы органов внутренних дел по профилактике правонарушений, утвержденной Приказом МВД Республики Беларусь от 03.01.2024 №1). 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Исходя из сложившейся практики, в большинстве случаев по результатам реагирования на семейно-бытовые конфликты по решению сотрудников ОВД агрессор изолируется из семьи. Одновременно осуществляется направление сведений о таких конфликтах иным субъектам профилактики. В текущем году ОВД принято более 2</w:t>
      </w:r>
      <w:r w:rsidR="00D327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000 (2</w:t>
      </w:r>
      <w:r w:rsidR="00D327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451</w:t>
      </w:r>
      <w:bookmarkStart w:id="0" w:name="_GoBack"/>
      <w:bookmarkEnd w:id="0"/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) согласий о передаче информации о домашнем насилии в центры социального обслуживания населения. Эффективному решению проблемы домашнего насилия способствует и использование такой меры индивидуальной профилактики правонарушений, как защитное предписание: позволяющее его применить как на стадии подготовки дел об административных правонарушениях к рассмотрению, так и в порядке уголовно-процессуального законодательства (по преступлениям против жизни и здоровья, половой неприкосновенности или половой свободы либо личной свободы, чести и достоинства).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В текущем году к «дебоширам» такая мера применялась более 2</w:t>
      </w:r>
      <w:r w:rsidR="00D327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500 раз (2</w:t>
      </w:r>
      <w:r w:rsidR="00D327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593).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За нарушение требований защитного предписания граждане привлекались к административной ответственности 180 раз.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Помимо осуществления индивидуально-профилактической работы важным элементом при организации предупредительной деятельности является изоляция граждан в лечебно-трудовые профилактории (далее – ЛТП). За 2025 год в ЛТП изолировано 1</w:t>
      </w:r>
      <w:r w:rsidR="00D327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122 гражданина.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Сотрудниками ОВД по сообщениям о домашнем насилии потерпевшей стороне разъясняется возможность ограничения в дееспособности лица, допустившего насилие. В дееспособности ограничено 48 лиц, злоупотребляющих спиртными напитками, ставящих по указанным причинам семью в тяжелое материальное положение. 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Эффективность данной работы зависит от слаженного взаимодействия на местах милиции и учреждений здравоохранения. 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Совместно с управлением здравоохранения облисполкома обеспечен взаимообмен информацией о гражданах, страдающих алкоголизмом, наркоманией, токсикоманией, склонных к совершению правонарушений и общественно опасному поведению.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К административной ответственности за «бытовые» правонарушения граждане привлекались более 3</w:t>
      </w:r>
      <w:r w:rsidR="00D327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000 (3</w:t>
      </w:r>
      <w:r w:rsidR="00D327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181) раз. По превентивным статьям в сфере домашнего насилия (ст.ст.153, 154, 186 УК) возбуждено 203 уголовных дела.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Безусловно, это достигнуто благодаря тесному взаимодействию с работниками прокуратуры, которым ОВД направляются ходатайства в случае нежелания потерпевшей стороны привлекать «дебошира» к ответственности.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Большая роль в профилактике бытовой преступности отводится проводимым информационным компаниям. Населению доводится информация, о порядке уведомления субъектов профилактики правонарушений о ставших известных случаях насилия в семьях соседей, знакомых, родственников и др. 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Кроме того,</w:t>
      </w: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каждом райисполкоме имеется свой Интернет-сайт.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их базе созданы и поддерживаются в актуальном состоянии специализированные разделы с информацией по вопросам профилактики домашнего насилия (ответственность за домашнее насилие, порядок оказания и виды помощи пострадавшим и др.). 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С 01.07.2024 введена в постоянную эксплуатацию государственная информационная система «Реестр информации о фактах домашнего насилия».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Порядок регулирования работы Реестра установлен Постановлением Совета Министров Республики Беларусь от 11.01.2023 №</w:t>
      </w:r>
      <w:r w:rsidR="00D327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27 «О функционировании реестра информации о фактах домашнего насилия».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Основными функциями Реестра является обработка, регистрация, накопление, сохранение использование информации о фактах домашнего насилия, автоматизация процедуры применения мер индивидуальной профилактики правонарушений к гражданам, обеспечение ведение профилактических дел в электронном варианте. </w:t>
      </w:r>
    </w:p>
    <w:p w:rsidR="003C1AC6" w:rsidRPr="00E14070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состоянию на 01.01.2026 на профилактическом учете за совершение домашнего насилия состоит 2</w:t>
      </w:r>
      <w:r w:rsidR="00D327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182 гражданина, в отношении которых в Реестре заведены электронные формы профилактического дела.</w:t>
      </w:r>
    </w:p>
    <w:p w:rsidR="00DA0A25" w:rsidRPr="00E14070" w:rsidRDefault="00DA0A25" w:rsidP="003C1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140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Статистика показывает, что для насилия нет различий по возрасту и социальному положению, в качестве жертвы агрессора может оказаться каждый член семьи. </w:t>
      </w:r>
    </w:p>
    <w:p w:rsidR="00DA0A25" w:rsidRPr="00E30CDD" w:rsidRDefault="00DA0A25" w:rsidP="003C1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4070">
        <w:rPr>
          <w:rFonts w:ascii="Times New Roman" w:eastAsia="Times New Roman" w:hAnsi="Times New Roman" w:cs="Times New Roman"/>
          <w:sz w:val="30"/>
          <w:szCs w:val="30"/>
          <w:lang w:eastAsia="ru-RU"/>
        </w:rPr>
        <w:t>Если Вам стало известно о том, что в той или иной семье сложилась неблагоприятная обстановка, возникают конфликтные ситуации, члены семьи злоупотребляют спиртными напитками, дети находятся в социально-опасном положении, сообщите данную информацию в управление охраны правопорядка и профилактики. Только активная жизненная позиция всех граждан сможет предотвратить семейные трагедии.</w:t>
      </w:r>
    </w:p>
    <w:sectPr w:rsidR="00DA0A25" w:rsidRPr="00E30CDD" w:rsidSect="0084156D">
      <w:headerReference w:type="default" r:id="rId7"/>
      <w:pgSz w:w="11906" w:h="16838"/>
      <w:pgMar w:top="1210" w:right="566" w:bottom="1134" w:left="1701" w:header="586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DDC" w:rsidRDefault="006F4DDC">
      <w:pPr>
        <w:spacing w:after="0" w:line="240" w:lineRule="auto"/>
      </w:pPr>
      <w:r>
        <w:separator/>
      </w:r>
    </w:p>
  </w:endnote>
  <w:endnote w:type="continuationSeparator" w:id="0">
    <w:p w:rsidR="006F4DDC" w:rsidRDefault="006F4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DDC" w:rsidRDefault="006F4DDC">
      <w:pPr>
        <w:spacing w:after="0" w:line="240" w:lineRule="auto"/>
      </w:pPr>
      <w:r>
        <w:separator/>
      </w:r>
    </w:p>
  </w:footnote>
  <w:footnote w:type="continuationSeparator" w:id="0">
    <w:p w:rsidR="006F4DDC" w:rsidRDefault="006F4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460" w:rsidRPr="004D7460" w:rsidRDefault="0044285B">
    <w:pPr>
      <w:pStyle w:val="a6"/>
      <w:jc w:val="center"/>
      <w:rPr>
        <w:rFonts w:ascii="Times New Roman" w:hAnsi="Times New Roman" w:cs="Times New Roman"/>
        <w:sz w:val="24"/>
        <w:szCs w:val="24"/>
      </w:rPr>
    </w:pPr>
    <w:r w:rsidRPr="004D7460">
      <w:rPr>
        <w:rFonts w:ascii="Times New Roman" w:hAnsi="Times New Roman" w:cs="Times New Roman"/>
        <w:sz w:val="24"/>
        <w:szCs w:val="24"/>
      </w:rPr>
      <w:fldChar w:fldCharType="begin"/>
    </w:r>
    <w:r w:rsidRPr="004D7460">
      <w:rPr>
        <w:rFonts w:ascii="Times New Roman" w:hAnsi="Times New Roman" w:cs="Times New Roman"/>
        <w:sz w:val="24"/>
        <w:szCs w:val="24"/>
      </w:rPr>
      <w:instrText>PAGE   \* MERGEFORMAT</w:instrText>
    </w:r>
    <w:r w:rsidRPr="004D7460">
      <w:rPr>
        <w:rFonts w:ascii="Times New Roman" w:hAnsi="Times New Roman" w:cs="Times New Roman"/>
        <w:sz w:val="24"/>
        <w:szCs w:val="24"/>
      </w:rPr>
      <w:fldChar w:fldCharType="separate"/>
    </w:r>
    <w:r w:rsidR="00507EDB">
      <w:rPr>
        <w:rFonts w:ascii="Times New Roman" w:hAnsi="Times New Roman" w:cs="Times New Roman"/>
        <w:noProof/>
        <w:sz w:val="24"/>
        <w:szCs w:val="24"/>
      </w:rPr>
      <w:t>3</w:t>
    </w:r>
    <w:r w:rsidRPr="004D7460">
      <w:rPr>
        <w:rFonts w:ascii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E61A0C"/>
    <w:multiLevelType w:val="multilevel"/>
    <w:tmpl w:val="0E3C86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7D487BA6"/>
    <w:multiLevelType w:val="hybridMultilevel"/>
    <w:tmpl w:val="A8B6EEC4"/>
    <w:lvl w:ilvl="0" w:tplc="6896C67A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5B"/>
    <w:rsid w:val="000A760E"/>
    <w:rsid w:val="003C1AC6"/>
    <w:rsid w:val="0044285B"/>
    <w:rsid w:val="00507EDB"/>
    <w:rsid w:val="006D7526"/>
    <w:rsid w:val="006F4DDC"/>
    <w:rsid w:val="0084156D"/>
    <w:rsid w:val="00AD1C95"/>
    <w:rsid w:val="00D3275B"/>
    <w:rsid w:val="00DA0A25"/>
    <w:rsid w:val="00E14070"/>
    <w:rsid w:val="00E3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956CB6-0C79-4997-86A8-AD529A4E5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85B"/>
    <w:pPr>
      <w:suppressAutoHyphens/>
    </w:pPr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9"/>
    <w:qFormat/>
    <w:rsid w:val="0044285B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44285B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styleId="a3">
    <w:name w:val="Strong"/>
    <w:uiPriority w:val="22"/>
    <w:qFormat/>
    <w:rsid w:val="0044285B"/>
    <w:rPr>
      <w:b/>
      <w:bCs/>
    </w:rPr>
  </w:style>
  <w:style w:type="paragraph" w:styleId="a4">
    <w:name w:val="Normal (Web)"/>
    <w:basedOn w:val="a"/>
    <w:uiPriority w:val="99"/>
    <w:unhideWhenUsed/>
    <w:qFormat/>
    <w:rsid w:val="0044285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сновной текст (2)"/>
    <w:basedOn w:val="a"/>
    <w:qFormat/>
    <w:rsid w:val="0044285B"/>
    <w:pPr>
      <w:widowControl w:val="0"/>
      <w:shd w:val="clear" w:color="auto" w:fill="FFFFFF"/>
      <w:spacing w:after="0" w:line="277" w:lineRule="exact"/>
      <w:jc w:val="both"/>
    </w:pPr>
    <w:rPr>
      <w:rFonts w:ascii="Times New Roman" w:eastAsia="Times New Roman" w:hAnsi="Times New Roman" w:cs="Times New Roman"/>
      <w:color w:val="000000"/>
      <w:sz w:val="30"/>
      <w:szCs w:val="30"/>
      <w:lang w:eastAsia="zh-CN" w:bidi="ru-RU"/>
    </w:rPr>
  </w:style>
  <w:style w:type="paragraph" w:styleId="a5">
    <w:name w:val="List Paragraph"/>
    <w:basedOn w:val="a"/>
    <w:qFormat/>
    <w:rsid w:val="0044285B"/>
    <w:pPr>
      <w:widowControl w:val="0"/>
      <w:spacing w:after="0" w:line="240" w:lineRule="auto"/>
      <w:ind w:left="720" w:firstLine="709"/>
      <w:jc w:val="both"/>
    </w:pPr>
    <w:rPr>
      <w:rFonts w:ascii="Courier New" w:hAnsi="Courier New" w:cs="Courier New"/>
      <w:color w:val="000000"/>
      <w:sz w:val="30"/>
      <w:lang w:eastAsia="zh-CN" w:bidi="ru-RU"/>
    </w:rPr>
  </w:style>
  <w:style w:type="paragraph" w:customStyle="1" w:styleId="Standard">
    <w:name w:val="Standard"/>
    <w:qFormat/>
    <w:rsid w:val="0044285B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header"/>
    <w:basedOn w:val="a"/>
    <w:link w:val="a7"/>
    <w:uiPriority w:val="99"/>
    <w:rsid w:val="0044285B"/>
    <w:pPr>
      <w:suppressLineNumbers/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285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2026-01-12T08:36:00Z</dcterms:created>
  <dcterms:modified xsi:type="dcterms:W3CDTF">2026-01-12T08:40:00Z</dcterms:modified>
</cp:coreProperties>
</file>